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D688" w14:textId="4E143AE4" w:rsidR="000B59C9" w:rsidRPr="000B59C9" w:rsidRDefault="000B59C9" w:rsidP="000B59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9C9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</w:t>
      </w:r>
    </w:p>
    <w:p w14:paraId="5004EC39" w14:textId="7EE9E482" w:rsidR="000B59C9" w:rsidRPr="000B59C9" w:rsidRDefault="000B59C9" w:rsidP="000B59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9C9">
        <w:rPr>
          <w:rFonts w:ascii="Times New Roman" w:hAnsi="Times New Roman" w:cs="Times New Roman"/>
          <w:b/>
          <w:sz w:val="28"/>
          <w:szCs w:val="28"/>
          <w:u w:val="single"/>
        </w:rPr>
        <w:t>Тема 9. Химические свойства керамики</w:t>
      </w:r>
    </w:p>
    <w:p w14:paraId="2D52F798" w14:textId="77777777" w:rsidR="000B59C9" w:rsidRPr="000B59C9" w:rsidRDefault="000B59C9" w:rsidP="000B59C9">
      <w:pPr>
        <w:spacing w:before="158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Химической (коррозионной) стойкостью называют способность керамических материалов противостоять разрушающему действию агрессивных сред. </w:t>
      </w:r>
    </w:p>
    <w:p w14:paraId="62F13B50" w14:textId="77777777" w:rsidR="000B59C9" w:rsidRPr="000B59C9" w:rsidRDefault="000B59C9" w:rsidP="000B59C9">
      <w:pPr>
        <w:pStyle w:val="a4"/>
        <w:spacing w:line="360" w:lineRule="auto"/>
        <w:rPr>
          <w:sz w:val="28"/>
          <w:szCs w:val="28"/>
        </w:rPr>
      </w:pPr>
      <w:r w:rsidRPr="000B59C9">
        <w:rPr>
          <w:sz w:val="28"/>
          <w:szCs w:val="28"/>
        </w:rPr>
        <w:t xml:space="preserve">Коррозию керамики могут сопровождать химические реакции, смачивание поверхности, растворение и пропитка пор, объемные изменения в керамике. </w:t>
      </w:r>
    </w:p>
    <w:p w14:paraId="5B7D55A3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При коррозии обычно происходит взаимная диффузия ионов (атомов) керамики и агрессивной среды. Диффузия может и не сопровождаться разрушением керамического изделия, но свойства могут измениться настолько, что его дальнейшая эксплуатация в данной конструкции станет невозможной. </w:t>
      </w:r>
    </w:p>
    <w:p w14:paraId="724B256E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Химическая стойкость определяется свойствами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корродиента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>, химическим составом и микроструктурой керамики, а также условиями процесса коррозии, особенно происходящими на границе керамики с агрессивной средой.</w:t>
      </w:r>
    </w:p>
    <w:p w14:paraId="47E7D749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Агрессивные вещества, действующие на керамику, часто представлены жидкостями (растворы кислот, оснований, солей; расплавы солей, стекол, шлаков, металлов). Особенно большое значение для огнеупоров имеет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шлакоустойчивость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>. Основная доля потерь в металлургических агрегатах приходится на разрушение огнеупоров жидкими шлаками. Коррозия жидкими агрессивными средами имеет место также в химических реакторах, в доменных, мартеновских, стекловаренных печах, в конвертерах, установках для непрерывной разливки стали и т.д.</w:t>
      </w:r>
    </w:p>
    <w:p w14:paraId="243ADBC5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Корродиентами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для керамических материалов могут быть также различные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>, в том числе ионизированные (плазма): пары воды, продукты сгорания топлива (CO, CO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), SO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пары летучих оксидов и солей и др. </w:t>
      </w:r>
      <w:r w:rsidRPr="000B59C9">
        <w:rPr>
          <w:rFonts w:ascii="Times New Roman" w:hAnsi="Times New Roman" w:cs="Times New Roman"/>
          <w:sz w:val="28"/>
          <w:szCs w:val="28"/>
        </w:rPr>
        <w:lastRenderedPageBreak/>
        <w:t xml:space="preserve">Бескислородная керамика и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керметы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могут, кроме того, окисляться. Коррозия газообразными агрессивными средами происходит в химических реакторах, металлургических и стекловаренных печах, рекуператорах, в каналах МГД-генераторов, в керамических двигателях и т.д.</w:t>
      </w:r>
    </w:p>
    <w:p w14:paraId="010DDCA7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Твердые вещества при повышенных температурах также могут взаимодействовать с керамикой. Этот вид коррозии встречается, когда в горячей зоне высокотемпературных агрегатов контактируют друг с другом различные по химическому составу виды огнеупоров.</w:t>
      </w:r>
    </w:p>
    <w:p w14:paraId="0BD69C1B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Химическую стойкость керамики по виду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корродиента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подразделяют на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кислотостойкость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щелочестойкость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стеклоустойчивость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металлоустойчивость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шлакоустойчивость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432F7C72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Взаимодействие керамики с агрессивными веществами зависит от химической природы агрессивной среды и керамики. Керамика из кислотных оксидов легко разрушается агрессивными веществами основного характера и наоборот. Так, керамика из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взаимодействует с парами воды, с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>, SO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, CO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, кислыми шлаками. Керамика на основе SiO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 xml:space="preserve"> взаимодействует с парами и растворами щелочей, с основными расплавами.</w:t>
      </w:r>
    </w:p>
    <w:p w14:paraId="0FC5EF15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Возможность тех или иных химических реакций между керамикой и агрессивной средой можно оценить по потенциалу Гиббса, но для многокомпонентного расплава при высоких температурах это сделать очень сложно.</w:t>
      </w:r>
    </w:p>
    <w:p w14:paraId="3771A357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Продуктами взаимодействия керамики с агрессивной средой могут быть твердые, жидкие или газообразные вещества.</w:t>
      </w:r>
    </w:p>
    <w:p w14:paraId="1D94089D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Выделение газообразных продуктов (встречающееся достаточно редко) увеличивает пористость керамики и этим уменьшает химическую стойкость, механическую прочность и другие, зависящие от пористости, свойства материала. </w:t>
      </w:r>
    </w:p>
    <w:p w14:paraId="531B37DD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керамики с жидкостями, приводящее к изменению их состава, является важнейшим и наиболее часто встречающимся процессом. Жидкие продукты могут, в свою очередь, взаимодействовать с керамикой. Этим объясняется тот факт, что подавляющая часть исследований в области химической стойкости керамики посвящена взаимодействиям с жидкостями. </w:t>
      </w:r>
    </w:p>
    <w:p w14:paraId="563B0867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Достаточно часто продукты взаимодействия бывают твердыми. Они могут стать твердыми в процессе охлаждения или изменения других условий процесса. Твердые продукты, с одной стороны, должны сдерживать дальнейшее взаимодействие, создавая своеобразный изолирующий слой между керамикой и агрессивным агентом, но с другой, – изменение физических и химических свойств часто вызывает необходимость замены керамики. </w:t>
      </w:r>
    </w:p>
    <w:p w14:paraId="31BE3F92" w14:textId="77777777" w:rsidR="000B59C9" w:rsidRPr="000B59C9" w:rsidRDefault="000B59C9" w:rsidP="000B59C9">
      <w:pPr>
        <w:spacing w:before="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Керамические футеровки различных высокотемпературных агрегатов работают в условиях градиента температур по толщине стенки. Сочетание химического воздействия с температурным градиентом чаще всего приводит к зональному перерождению керамики. В результате в отдельных зонах может произойти настолько значительное изменение механических и термомеханических свойств керамики, что это приводит к ее деформации, скалыванию футеровки и даже к разрушению конструкции. </w:t>
      </w:r>
    </w:p>
    <w:p w14:paraId="6A9989F2" w14:textId="77777777" w:rsidR="000B59C9" w:rsidRPr="000B59C9" w:rsidRDefault="000B59C9" w:rsidP="000B59C9">
      <w:pPr>
        <w:spacing w:before="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Химическая стойкость керамики зависит не только от ее химического состава, но и от макро- и микроструктуры: количества, формы и размера пор, количества и состава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межзерновой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фазы, размера и дефектности зерен. Наиболее интенсивно взаимодействие керамики с агрессивным веществом идет по порам, в первую очередь, открытым. Диффузия компонентов агрессивного вещества в керамику по поверхности пор интенсивнее, чем по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межзерновой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фазе, а, тем более, по объему зерен. Глубина пропитки пористой керамики жидкостью увеличивается вместе с увеличением открытой пористости. </w:t>
      </w:r>
    </w:p>
    <w:p w14:paraId="1F4DF4D0" w14:textId="77777777" w:rsidR="000B59C9" w:rsidRPr="000B59C9" w:rsidRDefault="000B59C9" w:rsidP="000B59C9">
      <w:pPr>
        <w:spacing w:before="1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lastRenderedPageBreak/>
        <w:t xml:space="preserve">По мере повышения температуры влияние пористости растет. Коррозия при этом определяется совместным влиянием формы пор, их ориентации и распределения по размерам и достаточно хорошо коррелирует с газопроницаемостью. </w:t>
      </w:r>
    </w:p>
    <w:p w14:paraId="0CB5989F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Под действием неоднородного температурного поля и в результате пропитки многокомпонентными расплавами керамический материал может приобретать зональное строение с различным распределением компонентов, зависящим, в первую очередь, от распределения температуры, скорости диффузии компонентов расплава по поверхности пор, удаленности от поверхности контакта с расплавом и времени взаимодействия.</w:t>
      </w:r>
    </w:p>
    <w:p w14:paraId="2DACC30F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Растворение стенок капилляров, происходящее при этом, может приводить к “шлаковой усадке”. Если в порах образуются новые продукты с большим объемом, то возникающие механические напряжения могут вызывать сколы. Благодаря твердофазным окислительно-восстановительным реакциям иногда могут возникать механические напряжения, приводящие к трещинам и образованию крупных полостей.</w:t>
      </w:r>
    </w:p>
    <w:p w14:paraId="57C3F23C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Для повышения химической стойкости керамики, в первую очередь необходимо уменьшать ее пористость, особенно открытую. Другим эффективным способом является пропитка керамики специальными веществами, которые в дальнейшем повышают вязкость пропитывающей агрессивной жидкости, уменьшают смачивание поверхности пор жидкостью, увеличивают химическую стойкость поверхностных слоев пор и т.д.</w:t>
      </w:r>
    </w:p>
    <w:p w14:paraId="1330D532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Химическое взаимодействие агрессивной среды с керамикой протекает не только по порам, но и между зернами, в ходе которого растворяются границы зерен, что облегчает эрозию керамики. Коэффициент диффузии атомов или ионов агрессивного вещества по границам зерен обычно значительно (иногда на 2-3 порядка) превышает таковой в объеме зерна. Если в основном веществе примесей много, то в керамике образуется явно </w:t>
      </w:r>
      <w:r w:rsidRPr="000B59C9">
        <w:rPr>
          <w:rFonts w:ascii="Times New Roman" w:hAnsi="Times New Roman" w:cs="Times New Roman"/>
          <w:sz w:val="28"/>
          <w:szCs w:val="28"/>
        </w:rPr>
        <w:lastRenderedPageBreak/>
        <w:t xml:space="preserve">выраженная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межзерновая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фаза, в основном имеющая после охлаждения стеклообразное строение.</w:t>
      </w:r>
    </w:p>
    <w:p w14:paraId="536F9A22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Наблюдается хорошая корреляция химической стойкости керамики с уменьшением содержания в ней плавней.</w:t>
      </w:r>
    </w:p>
    <w:p w14:paraId="7B78E250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Межзерновая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фаза и границы зерен, являясь менее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устойчивыми, чем кристаллические зерна, легче подвергаются химическому воздействию. Поскольку наиболее крупные открытые поры находятся между зернами, то проникающие по ним жидкость или газ растворяют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межзерновую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фазу в теле керамики.</w:t>
      </w:r>
    </w:p>
    <w:p w14:paraId="678F20B4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Для повышения химической стойкости керамики необходимо уменьшить количество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межзерновой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фазы, что достигается повышением чистоты основного материала; увеличить химическую стойкость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межзерновой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фазы можно, например, вводя высокоогнеупорные вещества в связующую часть шихты. Эффективно использование специальных добавок, приводящих к развитию в огнеупорах во время их обжига прямой связи кристалл-кристалл, что будет препятствовать вымыванию зерен агрессивной жидкостью. Так, пропитка магнезитовых огнеупоров солями хрома приводит после термообработки к образованию высокодисперсных частиц Cr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O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B59C9">
        <w:rPr>
          <w:rFonts w:ascii="Times New Roman" w:hAnsi="Times New Roman" w:cs="Times New Roman"/>
          <w:sz w:val="28"/>
          <w:szCs w:val="28"/>
        </w:rPr>
        <w:t>, препятствующих пропитке огнеупоров основными шлаками.</w:t>
      </w:r>
    </w:p>
    <w:p w14:paraId="78E68D27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Отдельные кристаллы (плотные зерна) обычно являются наиболее устойчивыми к химическому воздействию элементами микроструктуры керамики, однако они иногда могут вымываться агрессивной средой, еще полностью не растворившись.</w:t>
      </w:r>
    </w:p>
    <w:p w14:paraId="3FC2035C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Взаимодействие керамики с жидкостями и газами относится к гетерогенным процессам и может происходить в диффузионной, кинетической или смешанной области. Поскольку скорость химической реакции больше зависит от температуры, чем скорость диффузии, то при повышенных температурах процессы чаще всего лимитируются скоростью </w:t>
      </w:r>
      <w:r w:rsidRPr="000B59C9">
        <w:rPr>
          <w:rFonts w:ascii="Times New Roman" w:hAnsi="Times New Roman" w:cs="Times New Roman"/>
          <w:sz w:val="28"/>
          <w:szCs w:val="28"/>
        </w:rPr>
        <w:lastRenderedPageBreak/>
        <w:t>диффузии. При высоких температурах и малых скоростях действующего потока жидкости или газа, что характерно для условий службы керамики, большинство процессов протекает в диффузионной области. Низкие температуры и большие скорости потока способствуют протеканию процесса в кинетической области, что позволяет изучать истинную кинетику химического взаимодействия на поверхности.</w:t>
      </w:r>
    </w:p>
    <w:p w14:paraId="1107B35F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Для описания процессов взаимодействия керамики с жидкостями или газами в диффузионной области пользуются понятием диффузионного слоя. Именно скоростью диффузии через этот слой и определяется кинетика процесса.</w:t>
      </w:r>
    </w:p>
    <w:p w14:paraId="6F78F9E8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Для простых систем, когда один оксид растворяется в расплаве другого (случай сравнительно редкий), о составе и строении диффузионного слоя для данной температуры процесса можно судить приблизительно, исследуя прилегающий к керамике слой после охлаждения и используя диаграмму состояния этих оксидов. В сложных системах на состав и строение диффузионного слоя должно влиять различие скоростей диффузии отдельных компонентов. Это приводит к зональному строению диффузионного слоя. Для многокомпонентных систем и при неравновесном протекании процесса использование диаграмм состояния для исследования прилегающего к керамике слоя затруднено. Состав жидкости или газа в диффузионном слое при этом может значительно отличаться от исходной жидкости (газа), насыщаемой растворяемым материалом.</w:t>
      </w:r>
    </w:p>
    <w:p w14:paraId="0F18348B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При взаимодействии керамики с раствором (расплавом) электролита важную роль играют электрические явления, в частности, приобретение поверхностью керамики заряда, что влияет на процессы в диффузионном слое. Величина поверхностного заряда и зональность диффузионного слоя, являющиеся следствием различия в скоростях диффузии (в твердом теле и в жидкости) катионов и анионов, в свою очередь, замедляют скорость движения одних ионов и ускоряют - других.</w:t>
      </w:r>
    </w:p>
    <w:p w14:paraId="2EA46455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lastRenderedPageBreak/>
        <w:t>Окислительно-восстановительные процессы в диффузионном слое играют особенно важную роль при взаимодействии керамики с расплавами металлов. В диффузионном слое может происходить окисление металла и растворение керамики в образовавшемся веществе, а также восстановление каких-либо ионов в керамике. Эти процессы приводят к растворению керамики в расплаве металла или к потере керамикой или металлом важных эксплуатационных свойств.</w:t>
      </w:r>
    </w:p>
    <w:p w14:paraId="73A9CE51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Если взаимодействие керамики с жидкостью или газом происходит в диффузионной области, его можно описать эмпирической формулой Нернста:</w:t>
      </w:r>
    </w:p>
    <w:p w14:paraId="545CF787" w14:textId="77777777" w:rsidR="000B59C9" w:rsidRPr="000B59C9" w:rsidRDefault="000B59C9" w:rsidP="000B5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B59C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0B59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9C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B5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59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B59C9">
        <w:rPr>
          <w:rFonts w:ascii="Times New Roman" w:hAnsi="Times New Roman" w:cs="Times New Roman"/>
          <w:sz w:val="28"/>
          <w:szCs w:val="28"/>
        </w:rPr>
        <w:t>)/</w:t>
      </w:r>
      <w:r w:rsidRPr="000B59C9">
        <w:rPr>
          <w:rFonts w:ascii="Times New Roman" w:hAnsi="Times New Roman" w:cs="Times New Roman"/>
          <w:sz w:val="28"/>
          <w:szCs w:val="28"/>
        </w:rPr>
        <w:sym w:font="Symbol" w:char="F064"/>
      </w:r>
      <w:r w:rsidRPr="000B59C9">
        <w:rPr>
          <w:rFonts w:ascii="Times New Roman" w:hAnsi="Times New Roman" w:cs="Times New Roman"/>
          <w:sz w:val="28"/>
          <w:szCs w:val="28"/>
        </w:rPr>
        <w:t>,</w:t>
      </w:r>
      <w:r w:rsidRPr="000B59C9">
        <w:rPr>
          <w:rFonts w:ascii="Times New Roman" w:hAnsi="Times New Roman" w:cs="Times New Roman"/>
          <w:sz w:val="28"/>
          <w:szCs w:val="28"/>
        </w:rPr>
        <w:tab/>
      </w:r>
      <w:r w:rsidRPr="000B59C9">
        <w:rPr>
          <w:rFonts w:ascii="Times New Roman" w:hAnsi="Times New Roman" w:cs="Times New Roman"/>
          <w:sz w:val="28"/>
          <w:szCs w:val="28"/>
        </w:rPr>
        <w:tab/>
      </w:r>
      <w:r w:rsidRPr="000B59C9">
        <w:rPr>
          <w:rFonts w:ascii="Times New Roman" w:hAnsi="Times New Roman" w:cs="Times New Roman"/>
          <w:sz w:val="28"/>
          <w:szCs w:val="28"/>
        </w:rPr>
        <w:tab/>
        <w:t>(4.6.1)</w:t>
      </w:r>
    </w:p>
    <w:p w14:paraId="0D90EADC" w14:textId="77777777" w:rsidR="000B59C9" w:rsidRPr="000B59C9" w:rsidRDefault="000B59C9" w:rsidP="000B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где j – потеря массы твердого тела на единицу поверхности раздела за единицу времени; D – коэффициент диффузии; </w:t>
      </w:r>
      <w:r w:rsidRPr="000B59C9">
        <w:rPr>
          <w:rFonts w:ascii="Times New Roman" w:hAnsi="Times New Roman" w:cs="Times New Roman"/>
          <w:sz w:val="28"/>
          <w:szCs w:val="28"/>
        </w:rPr>
        <w:sym w:font="Symbol" w:char="F064"/>
      </w:r>
      <w:r w:rsidRPr="000B59C9">
        <w:rPr>
          <w:rFonts w:ascii="Times New Roman" w:hAnsi="Times New Roman" w:cs="Times New Roman"/>
          <w:sz w:val="28"/>
          <w:szCs w:val="28"/>
        </w:rPr>
        <w:t xml:space="preserve"> – толщина диффузионного слоя;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- концентрация растворяемого вещества в момент времени х;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– концентрация насыщения. </w:t>
      </w:r>
    </w:p>
    <w:p w14:paraId="0B8EB438" w14:textId="77777777" w:rsidR="000B59C9" w:rsidRPr="000B59C9" w:rsidRDefault="000B59C9" w:rsidP="000B59C9">
      <w:pPr>
        <w:spacing w:before="9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В формуле Нернста (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) = </w:t>
      </w:r>
      <w:r w:rsidRPr="000B59C9">
        <w:rPr>
          <w:rFonts w:ascii="Times New Roman" w:hAnsi="Times New Roman" w:cs="Times New Roman"/>
          <w:sz w:val="28"/>
          <w:szCs w:val="28"/>
        </w:rPr>
        <w:sym w:font="Symbol" w:char="F044"/>
      </w:r>
      <w:r w:rsidRPr="000B59C9">
        <w:rPr>
          <w:rFonts w:ascii="Times New Roman" w:hAnsi="Times New Roman" w:cs="Times New Roman"/>
          <w:sz w:val="28"/>
          <w:szCs w:val="28"/>
        </w:rPr>
        <w:t>C является движущейся силой процесса (термодинамическая характеристика), D/</w:t>
      </w:r>
      <w:r w:rsidRPr="000B59C9">
        <w:rPr>
          <w:rFonts w:ascii="Times New Roman" w:hAnsi="Times New Roman" w:cs="Times New Roman"/>
          <w:sz w:val="28"/>
          <w:szCs w:val="28"/>
        </w:rPr>
        <w:sym w:font="Symbol" w:char="F064"/>
      </w:r>
      <w:r w:rsidRPr="000B59C9">
        <w:rPr>
          <w:rFonts w:ascii="Times New Roman" w:hAnsi="Times New Roman" w:cs="Times New Roman"/>
          <w:sz w:val="28"/>
          <w:szCs w:val="28"/>
        </w:rPr>
        <w:t xml:space="preserve"> характеризует кинетические свойства диффузионного слоя, а скорость растворения j определяется совместным влиянием термодинамических и кинетических факторов. </w:t>
      </w:r>
    </w:p>
    <w:p w14:paraId="7CA487F4" w14:textId="77777777" w:rsidR="000B59C9" w:rsidRPr="000B59C9" w:rsidRDefault="000B59C9" w:rsidP="000B59C9">
      <w:pPr>
        <w:spacing w:before="1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В диффузионной области скорость растворения мало зависит от энергетической неоднородности поверхности - ориентации граней кристаллов, некоторого количества примесей в керамике, наличия ПАВ в жидкости и т. д. Зависимость от этих факторов появляется при уменьшении толщины диффузионного слоя (переходная или кинетическая область) или при приближении системы к насыщению, когда скорость растворения близка к нулю. Поскольку, как правило, керамику стремятся эксплуатировать в условиях, когда скорость ее растворения минимальна, то влияние некоторых из приведенных выше факторов обычно проявляется.</w:t>
      </w:r>
    </w:p>
    <w:p w14:paraId="4F00A402" w14:textId="77777777" w:rsidR="000B59C9" w:rsidRPr="000B59C9" w:rsidRDefault="000B59C9" w:rsidP="000B59C9">
      <w:pPr>
        <w:spacing w:before="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керамического материала для конкретных условий эксплуатации необходимо, чтобы скорость его растворения была минимальной, что достигается обычно при высокой его чистоте. </w:t>
      </w:r>
    </w:p>
    <w:p w14:paraId="66A0D10B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Наиболее важным для химической стойкости при эксплуатации керамики, особенно огнеупоров, являются процессы взаимодействия с оксидными расплавами: стеклами, шлаками и т. д. Поэтому важно знать строение расплавов оксидов и зависимость свойств, определяемых массопереносом, в расплаве (диффузия, электрическая проводимость, вязкость и т. д.) от его химического состава. </w:t>
      </w:r>
    </w:p>
    <w:p w14:paraId="4280778D" w14:textId="77777777" w:rsidR="000B59C9" w:rsidRPr="000B59C9" w:rsidRDefault="000B59C9" w:rsidP="000B59C9">
      <w:pPr>
        <w:spacing w:before="1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Катионы расплавов с учетом степени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ковалентности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их химической связи, подразделяют на две группы. К первой группе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 относят те, у которых связь с кислородом имеет преимущественно ионный характер: Са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B59C9">
        <w:rPr>
          <w:rFonts w:ascii="Times New Roman" w:hAnsi="Times New Roman" w:cs="Times New Roman"/>
          <w:sz w:val="28"/>
          <w:szCs w:val="28"/>
        </w:rPr>
        <w:t>, Mg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B59C9">
        <w:rPr>
          <w:rFonts w:ascii="Times New Roman" w:hAnsi="Times New Roman" w:cs="Times New Roman"/>
          <w:sz w:val="28"/>
          <w:szCs w:val="28"/>
        </w:rPr>
        <w:t>, Mn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B59C9">
        <w:rPr>
          <w:rFonts w:ascii="Times New Roman" w:hAnsi="Times New Roman" w:cs="Times New Roman"/>
          <w:sz w:val="28"/>
          <w:szCs w:val="28"/>
        </w:rPr>
        <w:t>, Fe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др. Ко второй группе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 xml:space="preserve"> относятся Si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Pr="000B59C9">
        <w:rPr>
          <w:rFonts w:ascii="Times New Roman" w:hAnsi="Times New Roman" w:cs="Times New Roman"/>
          <w:sz w:val="28"/>
          <w:szCs w:val="28"/>
        </w:rPr>
        <w:t>, P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0B59C9">
        <w:rPr>
          <w:rFonts w:ascii="Times New Roman" w:hAnsi="Times New Roman" w:cs="Times New Roman"/>
          <w:sz w:val="28"/>
          <w:szCs w:val="28"/>
        </w:rPr>
        <w:t>, Fe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0B59C9">
        <w:rPr>
          <w:rFonts w:ascii="Times New Roman" w:hAnsi="Times New Roman" w:cs="Times New Roman"/>
          <w:sz w:val="28"/>
          <w:szCs w:val="28"/>
        </w:rPr>
        <w:t>, B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0B59C9">
        <w:rPr>
          <w:rFonts w:ascii="Times New Roman" w:hAnsi="Times New Roman" w:cs="Times New Roman"/>
          <w:sz w:val="28"/>
          <w:szCs w:val="28"/>
        </w:rPr>
        <w:t>, V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др., у которых больше доля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ковалентности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связи. Катионы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 xml:space="preserve"> являются в силикатах “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сеткообразователями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>” и склонны к образованию в расплавах комплексных анионов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2x</w:t>
      </w:r>
      <w:r w:rsidRPr="000B59C9">
        <w:rPr>
          <w:rFonts w:ascii="Times New Roman" w:hAnsi="Times New Roman" w:cs="Times New Roman"/>
          <w:sz w:val="28"/>
          <w:szCs w:val="28"/>
        </w:rPr>
        <w:t>0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0B59C9">
        <w:rPr>
          <w:rFonts w:ascii="Times New Roman" w:hAnsi="Times New Roman" w:cs="Times New Roman"/>
          <w:sz w:val="28"/>
          <w:szCs w:val="28"/>
        </w:rPr>
        <w:t>. Катионы, проявляющие амфотерные свойства (Al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0B59C9">
        <w:rPr>
          <w:rFonts w:ascii="Times New Roman" w:hAnsi="Times New Roman" w:cs="Times New Roman"/>
          <w:sz w:val="28"/>
          <w:szCs w:val="28"/>
        </w:rPr>
        <w:t>, Ве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т. д.), в зависимости от основности расплава могут относиться к группе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или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. Катионы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, перемещающиеся в виде крупных комплексных анионов, обычно имеют меньшую скорость диффузии, чем катионы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772CEB" w14:textId="77777777" w:rsidR="000B59C9" w:rsidRPr="000B59C9" w:rsidRDefault="000B59C9" w:rsidP="000B59C9">
      <w:pPr>
        <w:spacing w:before="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По современным воззрениям расплавы оксидов, в частности, жидкие шлаки </w:t>
      </w:r>
      <w:proofErr w:type="gramStart"/>
      <w:r w:rsidRPr="000B59C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B59C9">
        <w:rPr>
          <w:rFonts w:ascii="Times New Roman" w:hAnsi="Times New Roman" w:cs="Times New Roman"/>
          <w:sz w:val="28"/>
          <w:szCs w:val="28"/>
        </w:rPr>
        <w:t xml:space="preserve"> микронеоднородные расплавы, состоящие из простых катионов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анионов О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др., а также комплексных анионов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2x</w:t>
      </w:r>
      <w:r w:rsidRPr="000B59C9">
        <w:rPr>
          <w:rFonts w:ascii="Times New Roman" w:hAnsi="Times New Roman" w:cs="Times New Roman"/>
          <w:sz w:val="28"/>
          <w:szCs w:val="28"/>
        </w:rPr>
        <w:t>0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0B59C9">
        <w:rPr>
          <w:rFonts w:ascii="Times New Roman" w:hAnsi="Times New Roman" w:cs="Times New Roman"/>
          <w:sz w:val="28"/>
          <w:szCs w:val="28"/>
        </w:rPr>
        <w:t xml:space="preserve"> различной сложности, устойчивость которых зависит от природы окружающих их катионов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>. При этом возможно образование группировок, включающих катионы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анионы О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2x</w:t>
      </w:r>
      <w:r w:rsidRPr="000B59C9">
        <w:rPr>
          <w:rFonts w:ascii="Times New Roman" w:hAnsi="Times New Roman" w:cs="Times New Roman"/>
          <w:sz w:val="28"/>
          <w:szCs w:val="28"/>
        </w:rPr>
        <w:t>0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0B59C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0B59C9">
        <w:rPr>
          <w:rFonts w:ascii="Times New Roman" w:hAnsi="Times New Roman" w:cs="Times New Roman"/>
          <w:sz w:val="28"/>
          <w:szCs w:val="28"/>
        </w:rPr>
        <w:t>.</w:t>
      </w:r>
    </w:p>
    <w:p w14:paraId="58032543" w14:textId="77777777" w:rsidR="000B59C9" w:rsidRPr="000B59C9" w:rsidRDefault="000B59C9" w:rsidP="000B59C9">
      <w:pPr>
        <w:spacing w:before="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Увеличение вязкости жидкости уменьшает коэффициент диффузии, что в соответствии с формулой Нернста приводит к уменьшению скорости </w:t>
      </w:r>
      <w:r w:rsidRPr="000B59C9">
        <w:rPr>
          <w:rFonts w:ascii="Times New Roman" w:hAnsi="Times New Roman" w:cs="Times New Roman"/>
          <w:sz w:val="28"/>
          <w:szCs w:val="28"/>
        </w:rPr>
        <w:lastRenderedPageBreak/>
        <w:t>химического воздействия на керамику. Необходимо иметь в виду, что при растворении компонентов керамики в расплав переходят катионы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(или)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>, что приводит к изменению вязкости расплава, в первую очередь, в диффузионном слое. Повышение вязкости уменьшает пропитку, понижение – увеличивает.</w:t>
      </w:r>
    </w:p>
    <w:p w14:paraId="0BB958C7" w14:textId="77777777" w:rsidR="000B59C9" w:rsidRPr="000B59C9" w:rsidRDefault="000B59C9" w:rsidP="000B59C9">
      <w:pPr>
        <w:spacing w:before="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Вязкость кислых расплавов оксидов медленно повышается с понижением температуры; у основных – медленное изменение происходит до определенной температуры, ниже которой наблюдается резкое увеличение вязкости, что объясняется началом кристаллизации оксидного расплава. </w:t>
      </w:r>
    </w:p>
    <w:p w14:paraId="608F912C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Обычно кривая зависимости вязкости оксидного расплава от содержания диоксида кремния проходит через минимум. В зависимости от положения состава шлака по отношению к минимуму, добавление катионов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9C9">
        <w:rPr>
          <w:rFonts w:ascii="Times New Roman" w:hAnsi="Times New Roman" w:cs="Times New Roman"/>
          <w:sz w:val="28"/>
          <w:szCs w:val="28"/>
        </w:rPr>
        <w:t xml:space="preserve"> и Кt</w:t>
      </w:r>
      <w:r w:rsidRPr="000B5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9C9">
        <w:rPr>
          <w:rFonts w:ascii="Times New Roman" w:hAnsi="Times New Roman" w:cs="Times New Roman"/>
          <w:sz w:val="28"/>
          <w:szCs w:val="28"/>
        </w:rPr>
        <w:t xml:space="preserve">, в том числе в процессе растворения, будет повышать или понижать вязкость. </w:t>
      </w:r>
    </w:p>
    <w:p w14:paraId="7EC13EBD" w14:textId="77777777" w:rsidR="000B59C9" w:rsidRPr="000B59C9" w:rsidRDefault="000B59C9" w:rsidP="000B59C9">
      <w:pPr>
        <w:spacing w:before="1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Поверхностное натяжение </w:t>
      </w:r>
      <w:r w:rsidRPr="000B59C9">
        <w:rPr>
          <w:rFonts w:ascii="Times New Roman" w:hAnsi="Times New Roman" w:cs="Times New Roman"/>
          <w:sz w:val="28"/>
          <w:szCs w:val="28"/>
        </w:rPr>
        <w:sym w:font="Symbol" w:char="F073"/>
      </w:r>
      <w:r w:rsidRPr="000B59C9">
        <w:rPr>
          <w:rFonts w:ascii="Times New Roman" w:hAnsi="Times New Roman" w:cs="Times New Roman"/>
          <w:sz w:val="28"/>
          <w:szCs w:val="28"/>
        </w:rPr>
        <w:t xml:space="preserve"> агрессивной жидкости также влияет на химическую стойкость керамики. Оксидные расплавы обычно хорошо смачивают оксидную керамику. Уменьшение смачиваемости приводит к уменьшению глубины пропитки керамики. Увеличение поверхностного натяжения на границе жидкость-газ обычно уменьшает пропитку и способствует коррозии только с поверхности. </w:t>
      </w:r>
    </w:p>
    <w:p w14:paraId="5690DF3B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При взаимодействии шамотных огнеупоров с различными агрессивными расплавами чаще всего их поверхностное натяжение повышается, что приводит к малой пропитке и тонкому реакционному слою.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Динасовые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огнеупоры при растворении несколько понижают </w:t>
      </w:r>
      <w:r w:rsidRPr="000B59C9">
        <w:rPr>
          <w:rFonts w:ascii="Times New Roman" w:hAnsi="Times New Roman" w:cs="Times New Roman"/>
          <w:sz w:val="28"/>
          <w:szCs w:val="28"/>
        </w:rPr>
        <w:sym w:font="Symbol" w:char="F073"/>
      </w:r>
      <w:r w:rsidRPr="000B59C9">
        <w:rPr>
          <w:rFonts w:ascii="Times New Roman" w:hAnsi="Times New Roman" w:cs="Times New Roman"/>
          <w:sz w:val="28"/>
          <w:szCs w:val="28"/>
        </w:rPr>
        <w:t xml:space="preserve"> расплава, что приводит к интенсивной пропитке и селективному проникновению в огнеупор компонентов расплава. В основных огнеупорах, благодаря их малому растворению в основных оксидных расплавах, свойства расплава меняются </w:t>
      </w:r>
      <w:r w:rsidRPr="000B59C9">
        <w:rPr>
          <w:rFonts w:ascii="Times New Roman" w:hAnsi="Times New Roman" w:cs="Times New Roman"/>
          <w:sz w:val="28"/>
          <w:szCs w:val="28"/>
        </w:rPr>
        <w:lastRenderedPageBreak/>
        <w:t>незначительно, что при достаточно низком поверхностном натяжении исходного расплава также благоприятствует пропитке.</w:t>
      </w:r>
    </w:p>
    <w:p w14:paraId="0ED0BCF8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На границе газ-жидкость-керамика, например, на границе зеркала расплава стекла в стекловаренной печи, растворение керамики идет более интенсивно, чем в глубине. Основной причиной этого явления считают изменение поверхностного натяжения на границе с керамикой, что может усиливать конвекцию. В поверхностные слои расплава могут вытесняться его наиболее агрессивные компоненты (в стекле – щелочи), вызывающие интенсивное растворение.</w:t>
      </w:r>
    </w:p>
    <w:p w14:paraId="78EE2419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Многообразие и сложность процессов коррозии не позволяет выработать универсально применимые испытания химической стойкости керамики. Если для определения стойкости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кислотоупоров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существуют стандартные методы, то для испытания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шлакоустойчивости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стеклоустойчивости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металлоустойчивости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 единых стандартных методов нет.</w:t>
      </w:r>
    </w:p>
    <w:p w14:paraId="62EBC126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Испытания химической стойкости можно разделить по применяемым установкам на промышленные, полупромышленные и лабораторные. По гидродинамическому режиму взаимодействия агрессивного вещества с керамикой методы делят на статические и динамические. При динамических испытаниях агрессивное вещество движется относительно исследуемого образца благодаря механическому перемешиванию или стеканию. При статических опытах возможна только свободная конвекция.</w:t>
      </w:r>
    </w:p>
    <w:p w14:paraId="095DC891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>Для оценки химической стойкости керамики можно использовать изменения структуры, химического состава или свойств, имевшие место в результате коррозии в керамике, в прилегающем к ней слое агрессивного вещества или в агрессивном веществе.</w:t>
      </w:r>
    </w:p>
    <w:p w14:paraId="6DE41C85" w14:textId="77777777" w:rsidR="000B59C9" w:rsidRPr="000B59C9" w:rsidRDefault="000B59C9" w:rsidP="000B59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C9">
        <w:rPr>
          <w:rFonts w:ascii="Times New Roman" w:hAnsi="Times New Roman" w:cs="Times New Roman"/>
          <w:sz w:val="28"/>
          <w:szCs w:val="28"/>
        </w:rPr>
        <w:t xml:space="preserve">Можно измерять изменение массы керамики, ее геометрических размеров, глубину проникновения (пропитки) агрессивного вещества в </w:t>
      </w:r>
      <w:r w:rsidRPr="000B59C9">
        <w:rPr>
          <w:rFonts w:ascii="Times New Roman" w:hAnsi="Times New Roman" w:cs="Times New Roman"/>
          <w:sz w:val="28"/>
          <w:szCs w:val="28"/>
        </w:rPr>
        <w:lastRenderedPageBreak/>
        <w:t xml:space="preserve">керамику. Растворение приводит к уменьшению массы, а окисление (например,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керметов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) и пропитка приводят к увеличению массы. Трудность заключается в том, что процессы растворения и пропитки обычно идут одновременно. Даже удаление налипшего расплава с образца часто является проблемой. Важную информацию о процессе дает изучение микроструктуры керамики и прилегающего к ней слоя агрессивного вещества с помощью оптической и электронной микроскопии. Иногда можно оценить химическую стойкость по изменению свойств агрессивного вещества и керамики, например, электрической проводимости, механической прочности, деформационных характеристик и т. д. Избирательность диффузии компонентов агрессивного вещества в керамику, состав диффузионного слоя исследуют с помощью электронного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микрозонда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лазерного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микрозонда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C9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0B59C9">
        <w:rPr>
          <w:rFonts w:ascii="Times New Roman" w:hAnsi="Times New Roman" w:cs="Times New Roman"/>
          <w:sz w:val="28"/>
          <w:szCs w:val="28"/>
        </w:rPr>
        <w:t xml:space="preserve">-спектроскопии, а также используя радиоактивные и нерадиоактивные изотопы. </w:t>
      </w:r>
    </w:p>
    <w:p w14:paraId="6326FCD8" w14:textId="77777777" w:rsidR="000B59C9" w:rsidRPr="000B59C9" w:rsidRDefault="000B59C9" w:rsidP="000B5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59C9">
        <w:rPr>
          <w:rFonts w:ascii="Times New Roman" w:hAnsi="Times New Roman"/>
          <w:sz w:val="28"/>
          <w:szCs w:val="28"/>
        </w:rPr>
        <w:t>Из сказанного ясно, что наиболее эффективным способом повышения химической стойкости керамики является увеличение ее плотности и повышение чистоты исходных веществ. При этом химическую стойкость надо рассматривать в комплексе с другими ее эксплуатационными физико-химическими свойствами. Повышения плотности керамики часто достигают при использовании специальных добавок. Важно, чтобы эти добавки не слишком понижали химическую стойкость и не обесценивали бы влияние повышения плотности. Кроме того, повышение плотности может уменьшить термостойкость керамики. Повышение чистоты исходного сырья увеличивает стоимость изделий и требует более высоких температур для их обжига. Иногда возможно использование специальных добавок, перекрывающих систему открытых пор или ухудшающих смачивание их поверхности, или добавок, повышающих химическую стойкость границ зерен. В конечном итоге в расчет надо принимать различные факторы, переводя их на язык экономики, и выбирать оптимальный вариант.</w:t>
      </w:r>
    </w:p>
    <w:p w14:paraId="6DF03D4B" w14:textId="77777777" w:rsidR="000B59C9" w:rsidRPr="000B59C9" w:rsidRDefault="000B59C9" w:rsidP="000B5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59C9" w:rsidRPr="000B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00"/>
    <w:rsid w:val="000B59C9"/>
    <w:rsid w:val="00122150"/>
    <w:rsid w:val="00640100"/>
    <w:rsid w:val="006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8EBE"/>
  <w15:chartTrackingRefBased/>
  <w15:docId w15:val="{50A6F56B-D36D-46D4-AE53-45AF8415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B59C9"/>
    <w:pPr>
      <w:widowControl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0B59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B59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Вершинин</dc:creator>
  <cp:keywords/>
  <dc:description/>
  <cp:lastModifiedBy>Дмитрий Вершинин</cp:lastModifiedBy>
  <cp:revision>2</cp:revision>
  <dcterms:created xsi:type="dcterms:W3CDTF">2021-05-28T09:21:00Z</dcterms:created>
  <dcterms:modified xsi:type="dcterms:W3CDTF">2021-05-28T09:25:00Z</dcterms:modified>
</cp:coreProperties>
</file>